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F38" w:rsidRPr="009C6949" w:rsidRDefault="00C63203" w:rsidP="00C63203">
      <w:pPr>
        <w:spacing w:after="0" w:line="360" w:lineRule="auto"/>
        <w:jc w:val="right"/>
        <w:rPr>
          <w:rFonts w:cstheme="minorHAnsi"/>
          <w:sz w:val="18"/>
          <w:szCs w:val="20"/>
        </w:rPr>
      </w:pPr>
      <w:r w:rsidRPr="009C6949">
        <w:rPr>
          <w:rFonts w:cstheme="minorHAnsi"/>
          <w:sz w:val="18"/>
          <w:szCs w:val="20"/>
        </w:rPr>
        <w:t>South West Gospel Partnership, 6.3.24</w:t>
      </w:r>
    </w:p>
    <w:p w:rsidR="00C63203" w:rsidRPr="009C6949" w:rsidRDefault="00C63203" w:rsidP="00C63203">
      <w:pPr>
        <w:pBdr>
          <w:bottom w:val="single" w:sz="4" w:space="1" w:color="auto"/>
        </w:pBdr>
        <w:spacing w:after="0" w:line="360" w:lineRule="auto"/>
        <w:jc w:val="center"/>
        <w:rPr>
          <w:rFonts w:cstheme="minorHAnsi"/>
          <w:b/>
          <w:sz w:val="24"/>
          <w:szCs w:val="20"/>
        </w:rPr>
      </w:pPr>
      <w:r w:rsidRPr="009C6949">
        <w:rPr>
          <w:rFonts w:cstheme="minorHAnsi"/>
          <w:b/>
          <w:sz w:val="24"/>
          <w:szCs w:val="20"/>
        </w:rPr>
        <w:t>Theology of Preaching</w:t>
      </w:r>
    </w:p>
    <w:p w:rsidR="00C63203" w:rsidRPr="009C6949" w:rsidRDefault="00C63203" w:rsidP="00C63203">
      <w:pPr>
        <w:spacing w:after="0" w:line="360" w:lineRule="auto"/>
        <w:rPr>
          <w:rFonts w:cstheme="minorHAnsi"/>
          <w:sz w:val="20"/>
          <w:szCs w:val="20"/>
        </w:rPr>
      </w:pPr>
    </w:p>
    <w:p w:rsidR="00C15C21" w:rsidRPr="009C6949" w:rsidRDefault="00C15C21" w:rsidP="00C15C21">
      <w:pPr>
        <w:spacing w:after="0" w:line="360" w:lineRule="auto"/>
        <w:rPr>
          <w:rFonts w:cstheme="minorHAnsi"/>
          <w:b/>
          <w:szCs w:val="20"/>
        </w:rPr>
      </w:pPr>
      <w:r w:rsidRPr="009C6949">
        <w:rPr>
          <w:rFonts w:cstheme="minorHAnsi"/>
          <w:b/>
          <w:szCs w:val="20"/>
        </w:rPr>
        <w:t>1.  Setting the scene</w:t>
      </w:r>
    </w:p>
    <w:p w:rsidR="00C63203" w:rsidRPr="009C6949" w:rsidRDefault="00565F93" w:rsidP="009C6949">
      <w:pPr>
        <w:tabs>
          <w:tab w:val="left" w:pos="1290"/>
        </w:tabs>
        <w:spacing w:after="0" w:line="360" w:lineRule="auto"/>
        <w:rPr>
          <w:rFonts w:cstheme="minorHAnsi"/>
          <w:sz w:val="20"/>
          <w:szCs w:val="20"/>
        </w:rPr>
      </w:pPr>
      <w:r>
        <w:rPr>
          <w:rFonts w:cstheme="minorHAnsi"/>
          <w:sz w:val="20"/>
          <w:szCs w:val="20"/>
        </w:rPr>
        <w:t xml:space="preserve">Mark </w:t>
      </w:r>
      <w:r w:rsidRPr="009C6949">
        <w:rPr>
          <w:rFonts w:cstheme="minorHAnsi"/>
          <w:sz w:val="20"/>
          <w:szCs w:val="20"/>
        </w:rPr>
        <w:t>Thompson</w:t>
      </w:r>
      <w:r>
        <w:rPr>
          <w:rFonts w:cstheme="minorHAnsi"/>
          <w:sz w:val="20"/>
          <w:szCs w:val="20"/>
        </w:rPr>
        <w:t xml:space="preserve">: </w:t>
      </w:r>
      <w:r w:rsidRPr="009C6949">
        <w:rPr>
          <w:rFonts w:cstheme="minorHAnsi"/>
          <w:sz w:val="20"/>
          <w:szCs w:val="20"/>
        </w:rPr>
        <w:t xml:space="preserve"> </w:t>
      </w:r>
      <w:r w:rsidR="00C63203" w:rsidRPr="009C6949">
        <w:rPr>
          <w:rFonts w:cstheme="minorHAnsi"/>
          <w:sz w:val="20"/>
          <w:szCs w:val="20"/>
        </w:rPr>
        <w:t>‘The often remarked-upon decline in the effectiveness of contemporary preaching is due, more than anything else, to the neglect of a theological understanding of its nature and function within the Christian congregation’</w:t>
      </w:r>
      <w:r>
        <w:rPr>
          <w:rFonts w:cstheme="minorHAnsi"/>
          <w:sz w:val="20"/>
          <w:szCs w:val="20"/>
        </w:rPr>
        <w:t>.</w:t>
      </w:r>
      <w:r w:rsidR="00C63203" w:rsidRPr="009C6949">
        <w:rPr>
          <w:rStyle w:val="FootnoteReference"/>
          <w:rFonts w:cstheme="minorHAnsi"/>
          <w:sz w:val="20"/>
          <w:szCs w:val="20"/>
        </w:rPr>
        <w:footnoteReference w:id="1"/>
      </w:r>
    </w:p>
    <w:p w:rsidR="00C15C21" w:rsidRPr="009C6949" w:rsidRDefault="00C15C21" w:rsidP="00C63203">
      <w:pPr>
        <w:spacing w:after="0" w:line="360" w:lineRule="auto"/>
        <w:rPr>
          <w:rFonts w:cstheme="minorHAnsi"/>
          <w:sz w:val="20"/>
          <w:szCs w:val="20"/>
        </w:rPr>
      </w:pPr>
    </w:p>
    <w:p w:rsidR="00C15C21" w:rsidRPr="009C6949" w:rsidRDefault="00C15C21" w:rsidP="00C63203">
      <w:pPr>
        <w:spacing w:after="0" w:line="360" w:lineRule="auto"/>
        <w:rPr>
          <w:rFonts w:cstheme="minorHAnsi"/>
          <w:sz w:val="20"/>
          <w:szCs w:val="20"/>
        </w:rPr>
      </w:pPr>
    </w:p>
    <w:p w:rsidR="000255E4" w:rsidRPr="009C6949" w:rsidRDefault="000255E4" w:rsidP="009C6949">
      <w:pPr>
        <w:pBdr>
          <w:top w:val="single" w:sz="4" w:space="1" w:color="auto"/>
          <w:left w:val="single" w:sz="4" w:space="4" w:color="auto"/>
          <w:bottom w:val="single" w:sz="4" w:space="1" w:color="auto"/>
          <w:right w:val="single" w:sz="4" w:space="4" w:color="auto"/>
        </w:pBdr>
        <w:spacing w:after="0" w:line="360" w:lineRule="auto"/>
        <w:rPr>
          <w:rFonts w:cstheme="minorHAnsi"/>
          <w:sz w:val="20"/>
          <w:szCs w:val="20"/>
        </w:rPr>
      </w:pPr>
      <w:r w:rsidRPr="009C6949">
        <w:rPr>
          <w:rFonts w:cstheme="minorHAnsi"/>
          <w:sz w:val="20"/>
          <w:szCs w:val="20"/>
        </w:rPr>
        <w:t xml:space="preserve">What are your favourite and </w:t>
      </w:r>
      <w:r w:rsidR="009C6949" w:rsidRPr="009C6949">
        <w:rPr>
          <w:rFonts w:cstheme="minorHAnsi"/>
          <w:sz w:val="20"/>
          <w:szCs w:val="20"/>
        </w:rPr>
        <w:t xml:space="preserve">least ways for a service-leader </w:t>
      </w:r>
      <w:r w:rsidRPr="009C6949">
        <w:rPr>
          <w:rFonts w:cstheme="minorHAnsi"/>
          <w:sz w:val="20"/>
          <w:szCs w:val="20"/>
        </w:rPr>
        <w:t>to announce that the sermon is coming next?</w:t>
      </w:r>
    </w:p>
    <w:p w:rsidR="000255E4" w:rsidRDefault="000255E4" w:rsidP="009C6949">
      <w:pPr>
        <w:pBdr>
          <w:top w:val="single" w:sz="4" w:space="1" w:color="auto"/>
          <w:left w:val="single" w:sz="4" w:space="4" w:color="auto"/>
          <w:bottom w:val="single" w:sz="4" w:space="1" w:color="auto"/>
          <w:right w:val="single" w:sz="4" w:space="4" w:color="auto"/>
        </w:pBdr>
        <w:spacing w:after="0" w:line="360" w:lineRule="auto"/>
        <w:rPr>
          <w:rFonts w:cstheme="minorHAnsi"/>
          <w:sz w:val="20"/>
          <w:szCs w:val="20"/>
        </w:rPr>
      </w:pPr>
    </w:p>
    <w:p w:rsidR="009C6949" w:rsidRPr="009C6949" w:rsidRDefault="009C6949" w:rsidP="009C6949">
      <w:pPr>
        <w:pBdr>
          <w:top w:val="single" w:sz="4" w:space="1" w:color="auto"/>
          <w:left w:val="single" w:sz="4" w:space="4" w:color="auto"/>
          <w:bottom w:val="single" w:sz="4" w:space="1" w:color="auto"/>
          <w:right w:val="single" w:sz="4" w:space="4" w:color="auto"/>
        </w:pBdr>
        <w:spacing w:after="0" w:line="360" w:lineRule="auto"/>
        <w:rPr>
          <w:rFonts w:cstheme="minorHAnsi"/>
          <w:sz w:val="20"/>
          <w:szCs w:val="20"/>
        </w:rPr>
      </w:pPr>
    </w:p>
    <w:p w:rsidR="009C6949" w:rsidRPr="009C6949" w:rsidRDefault="009C6949" w:rsidP="009C6949">
      <w:pPr>
        <w:pBdr>
          <w:top w:val="single" w:sz="4" w:space="1" w:color="auto"/>
          <w:left w:val="single" w:sz="4" w:space="4" w:color="auto"/>
          <w:bottom w:val="single" w:sz="4" w:space="1" w:color="auto"/>
          <w:right w:val="single" w:sz="4" w:space="4" w:color="auto"/>
        </w:pBdr>
        <w:spacing w:after="0" w:line="360" w:lineRule="auto"/>
        <w:rPr>
          <w:rFonts w:cstheme="minorHAnsi"/>
          <w:sz w:val="20"/>
          <w:szCs w:val="20"/>
        </w:rPr>
      </w:pPr>
    </w:p>
    <w:p w:rsidR="001F569A" w:rsidRPr="009C6949" w:rsidRDefault="001F569A" w:rsidP="001F569A">
      <w:pPr>
        <w:spacing w:after="0" w:line="360" w:lineRule="auto"/>
        <w:rPr>
          <w:rFonts w:cstheme="minorHAnsi"/>
          <w:sz w:val="20"/>
          <w:szCs w:val="20"/>
        </w:rPr>
      </w:pPr>
    </w:p>
    <w:p w:rsidR="00A814AA" w:rsidRPr="009C6949" w:rsidRDefault="00A814AA" w:rsidP="001F569A">
      <w:pPr>
        <w:spacing w:after="0" w:line="360" w:lineRule="auto"/>
        <w:rPr>
          <w:rFonts w:cstheme="minorHAnsi"/>
          <w:sz w:val="20"/>
          <w:szCs w:val="20"/>
        </w:rPr>
      </w:pPr>
    </w:p>
    <w:p w:rsidR="00C15C21" w:rsidRPr="009C6949" w:rsidRDefault="00C15C21" w:rsidP="001F569A">
      <w:pPr>
        <w:spacing w:after="0" w:line="360" w:lineRule="auto"/>
        <w:rPr>
          <w:rFonts w:cstheme="minorHAnsi"/>
          <w:sz w:val="20"/>
          <w:szCs w:val="20"/>
        </w:rPr>
      </w:pPr>
    </w:p>
    <w:p w:rsidR="00A814AA" w:rsidRPr="009C6949" w:rsidRDefault="00A814AA" w:rsidP="001F569A">
      <w:pPr>
        <w:spacing w:after="0" w:line="360" w:lineRule="auto"/>
        <w:rPr>
          <w:rFonts w:cstheme="minorHAnsi"/>
          <w:sz w:val="20"/>
          <w:szCs w:val="20"/>
        </w:rPr>
      </w:pPr>
    </w:p>
    <w:p w:rsidR="009C6949" w:rsidRDefault="00C15C21" w:rsidP="001F569A">
      <w:pPr>
        <w:spacing w:after="0" w:line="360" w:lineRule="auto"/>
        <w:rPr>
          <w:rFonts w:cstheme="minorHAnsi"/>
          <w:b/>
          <w:szCs w:val="20"/>
        </w:rPr>
      </w:pPr>
      <w:r w:rsidRPr="009C6949">
        <w:rPr>
          <w:rFonts w:cstheme="minorHAnsi"/>
          <w:b/>
          <w:szCs w:val="20"/>
        </w:rPr>
        <w:t>2.  Scripture</w:t>
      </w:r>
    </w:p>
    <w:p w:rsidR="0059094E" w:rsidRDefault="0059094E" w:rsidP="001F569A">
      <w:pPr>
        <w:spacing w:after="0" w:line="360" w:lineRule="auto"/>
        <w:rPr>
          <w:rFonts w:cstheme="minorHAnsi"/>
          <w:b/>
          <w:szCs w:val="20"/>
        </w:rPr>
      </w:pPr>
    </w:p>
    <w:p w:rsidR="0059094E" w:rsidRDefault="0059094E" w:rsidP="001F569A">
      <w:pPr>
        <w:spacing w:after="0" w:line="360" w:lineRule="auto"/>
        <w:rPr>
          <w:rFonts w:cstheme="minorHAnsi"/>
          <w:b/>
          <w:szCs w:val="20"/>
        </w:rPr>
      </w:pPr>
      <w:r>
        <w:rPr>
          <w:rFonts w:cstheme="minorHAnsi"/>
          <w:b/>
          <w:szCs w:val="20"/>
        </w:rPr>
        <w:t>Prophetic proclamation to the assembly</w:t>
      </w:r>
    </w:p>
    <w:p w:rsidR="0059094E" w:rsidRPr="009C6949" w:rsidRDefault="00972BE3" w:rsidP="001F569A">
      <w:pPr>
        <w:spacing w:after="0" w:line="360" w:lineRule="auto"/>
        <w:rPr>
          <w:rFonts w:cstheme="minorHAnsi"/>
          <w:b/>
          <w:szCs w:val="20"/>
        </w:rPr>
      </w:pPr>
      <w:r>
        <w:rPr>
          <w:rFonts w:cstheme="minorHAnsi"/>
          <w:b/>
          <w:szCs w:val="20"/>
        </w:rPr>
        <w:t xml:space="preserve">Ash on </w:t>
      </w:r>
      <w:proofErr w:type="spellStart"/>
      <w:r>
        <w:rPr>
          <w:rFonts w:cstheme="minorHAnsi"/>
          <w:b/>
          <w:szCs w:val="20"/>
        </w:rPr>
        <w:t>Deut</w:t>
      </w:r>
      <w:proofErr w:type="spellEnd"/>
      <w:r>
        <w:rPr>
          <w:rFonts w:cstheme="minorHAnsi"/>
          <w:b/>
          <w:szCs w:val="20"/>
        </w:rPr>
        <w:t xml:space="preserve"> – Scripture needs to be </w:t>
      </w:r>
      <w:r w:rsidR="00153691">
        <w:rPr>
          <w:rFonts w:cstheme="minorHAnsi"/>
          <w:b/>
          <w:szCs w:val="20"/>
        </w:rPr>
        <w:t>proclaimed, not just read</w:t>
      </w:r>
    </w:p>
    <w:p w:rsidR="009C6949" w:rsidRPr="009C6949" w:rsidRDefault="00C15C21" w:rsidP="001F569A">
      <w:pPr>
        <w:spacing w:after="0" w:line="360" w:lineRule="auto"/>
        <w:rPr>
          <w:rFonts w:cstheme="minorHAnsi"/>
          <w:sz w:val="20"/>
          <w:szCs w:val="20"/>
        </w:rPr>
      </w:pPr>
      <w:r w:rsidRPr="009C6949">
        <w:rPr>
          <w:rFonts w:cstheme="minorHAnsi"/>
          <w:sz w:val="20"/>
          <w:szCs w:val="20"/>
        </w:rPr>
        <w:t>OT</w:t>
      </w:r>
    </w:p>
    <w:p w:rsidR="00C15C21" w:rsidRPr="009C6949" w:rsidRDefault="007A357F" w:rsidP="009C6949">
      <w:pPr>
        <w:spacing w:after="0" w:line="360" w:lineRule="auto"/>
        <w:ind w:left="720"/>
        <w:rPr>
          <w:rFonts w:cstheme="minorHAnsi"/>
          <w:i/>
          <w:sz w:val="20"/>
          <w:szCs w:val="20"/>
        </w:rPr>
      </w:pPr>
      <w:r w:rsidRPr="009C6949">
        <w:rPr>
          <w:rFonts w:cstheme="minorHAnsi"/>
          <w:i/>
          <w:sz w:val="20"/>
          <w:szCs w:val="20"/>
        </w:rPr>
        <w:t>Prophetic preacher…</w:t>
      </w:r>
    </w:p>
    <w:p w:rsidR="00B85736" w:rsidRPr="009C6949" w:rsidRDefault="00B85736" w:rsidP="009C6949">
      <w:pPr>
        <w:spacing w:after="0" w:line="360" w:lineRule="auto"/>
        <w:ind w:left="720"/>
        <w:rPr>
          <w:rFonts w:cstheme="minorHAnsi"/>
          <w:sz w:val="20"/>
          <w:szCs w:val="20"/>
        </w:rPr>
      </w:pPr>
    </w:p>
    <w:p w:rsidR="009C6949" w:rsidRPr="009C6949" w:rsidRDefault="009C6949" w:rsidP="009C6949">
      <w:pPr>
        <w:spacing w:after="0" w:line="360" w:lineRule="auto"/>
        <w:ind w:left="720"/>
        <w:rPr>
          <w:rFonts w:cstheme="minorHAnsi"/>
          <w:sz w:val="20"/>
          <w:szCs w:val="20"/>
        </w:rPr>
      </w:pPr>
    </w:p>
    <w:p w:rsidR="007A357F" w:rsidRPr="009C6949" w:rsidRDefault="007A357F" w:rsidP="009C6949">
      <w:pPr>
        <w:spacing w:after="0" w:line="360" w:lineRule="auto"/>
        <w:ind w:left="720"/>
        <w:rPr>
          <w:rFonts w:cstheme="minorHAnsi"/>
          <w:i/>
          <w:sz w:val="20"/>
          <w:szCs w:val="20"/>
        </w:rPr>
      </w:pPr>
      <w:r w:rsidRPr="009C6949">
        <w:rPr>
          <w:rFonts w:cstheme="minorHAnsi"/>
          <w:i/>
          <w:sz w:val="20"/>
          <w:szCs w:val="20"/>
        </w:rPr>
        <w:t>….to the assembly</w:t>
      </w:r>
    </w:p>
    <w:p w:rsidR="008D13A4" w:rsidRPr="009C6949" w:rsidRDefault="008D13A4" w:rsidP="001F569A">
      <w:pPr>
        <w:spacing w:after="0" w:line="360" w:lineRule="auto"/>
        <w:rPr>
          <w:rFonts w:cstheme="minorHAnsi"/>
          <w:sz w:val="20"/>
          <w:szCs w:val="20"/>
        </w:rPr>
      </w:pPr>
    </w:p>
    <w:p w:rsidR="00C05AA8" w:rsidRPr="009C6949" w:rsidRDefault="00C05AA8" w:rsidP="001F569A">
      <w:pPr>
        <w:spacing w:after="0" w:line="360" w:lineRule="auto"/>
        <w:rPr>
          <w:rFonts w:cstheme="minorHAnsi"/>
          <w:sz w:val="20"/>
          <w:szCs w:val="20"/>
        </w:rPr>
      </w:pPr>
    </w:p>
    <w:p w:rsidR="00C15C21" w:rsidRPr="009C6949" w:rsidRDefault="00C15C21" w:rsidP="001F569A">
      <w:pPr>
        <w:spacing w:after="0" w:line="360" w:lineRule="auto"/>
        <w:rPr>
          <w:rFonts w:cstheme="minorHAnsi"/>
          <w:sz w:val="20"/>
          <w:szCs w:val="20"/>
        </w:rPr>
      </w:pPr>
      <w:r w:rsidRPr="009C6949">
        <w:rPr>
          <w:rFonts w:cstheme="minorHAnsi"/>
          <w:sz w:val="20"/>
          <w:szCs w:val="20"/>
        </w:rPr>
        <w:t>NT</w:t>
      </w:r>
    </w:p>
    <w:p w:rsidR="003F4B70" w:rsidRPr="009C6949" w:rsidRDefault="00C05AA8" w:rsidP="009C6949">
      <w:pPr>
        <w:spacing w:after="0" w:line="360" w:lineRule="auto"/>
        <w:ind w:left="720"/>
        <w:rPr>
          <w:rFonts w:cstheme="minorHAnsi"/>
          <w:i/>
          <w:sz w:val="20"/>
          <w:szCs w:val="20"/>
        </w:rPr>
      </w:pPr>
      <w:r w:rsidRPr="009C6949">
        <w:rPr>
          <w:rFonts w:cstheme="minorHAnsi"/>
          <w:i/>
          <w:sz w:val="20"/>
          <w:szCs w:val="20"/>
        </w:rPr>
        <w:t>The assembly…</w:t>
      </w:r>
    </w:p>
    <w:p w:rsidR="00C05AA8" w:rsidRPr="009C6949" w:rsidRDefault="00C05AA8" w:rsidP="009C6949">
      <w:pPr>
        <w:spacing w:after="0" w:line="360" w:lineRule="auto"/>
        <w:ind w:left="720" w:firstLine="720"/>
        <w:rPr>
          <w:rFonts w:cstheme="minorHAnsi"/>
          <w:sz w:val="20"/>
          <w:szCs w:val="20"/>
        </w:rPr>
      </w:pPr>
      <w:r w:rsidRPr="009C6949">
        <w:rPr>
          <w:rFonts w:cstheme="minorHAnsi"/>
          <w:sz w:val="20"/>
          <w:szCs w:val="20"/>
        </w:rPr>
        <w:t>Hebrews 12.18-27</w:t>
      </w:r>
    </w:p>
    <w:p w:rsidR="00C05AA8" w:rsidRPr="009C6949" w:rsidRDefault="00C05AA8" w:rsidP="009C6949">
      <w:pPr>
        <w:spacing w:after="0" w:line="360" w:lineRule="auto"/>
        <w:ind w:left="720"/>
        <w:rPr>
          <w:rFonts w:cstheme="minorHAnsi"/>
          <w:sz w:val="20"/>
          <w:szCs w:val="20"/>
        </w:rPr>
      </w:pPr>
    </w:p>
    <w:p w:rsidR="00C05AA8" w:rsidRPr="009C6949" w:rsidRDefault="00C05AA8" w:rsidP="009C6949">
      <w:pPr>
        <w:spacing w:after="0" w:line="360" w:lineRule="auto"/>
        <w:ind w:left="720"/>
        <w:rPr>
          <w:rFonts w:cstheme="minorHAnsi"/>
          <w:sz w:val="20"/>
          <w:szCs w:val="20"/>
        </w:rPr>
      </w:pPr>
    </w:p>
    <w:p w:rsidR="00C15C21" w:rsidRPr="009C6949" w:rsidRDefault="00C05AA8" w:rsidP="009C6949">
      <w:pPr>
        <w:spacing w:after="0" w:line="360" w:lineRule="auto"/>
        <w:ind w:left="720"/>
        <w:rPr>
          <w:rFonts w:cstheme="minorHAnsi"/>
          <w:i/>
          <w:sz w:val="20"/>
          <w:szCs w:val="20"/>
        </w:rPr>
      </w:pPr>
      <w:r w:rsidRPr="009C6949">
        <w:rPr>
          <w:rFonts w:cstheme="minorHAnsi"/>
          <w:i/>
          <w:sz w:val="20"/>
          <w:szCs w:val="20"/>
        </w:rPr>
        <w:t>…hearing the preacher/prophet</w:t>
      </w:r>
    </w:p>
    <w:p w:rsidR="009C6949" w:rsidRPr="009C6949" w:rsidRDefault="00900101" w:rsidP="009C6949">
      <w:pPr>
        <w:spacing w:after="0" w:line="360" w:lineRule="auto"/>
        <w:ind w:left="720" w:firstLine="720"/>
        <w:rPr>
          <w:rFonts w:cstheme="minorHAnsi"/>
          <w:sz w:val="20"/>
          <w:szCs w:val="20"/>
        </w:rPr>
      </w:pPr>
      <w:r w:rsidRPr="009C6949">
        <w:rPr>
          <w:rFonts w:cstheme="minorHAnsi"/>
          <w:sz w:val="20"/>
          <w:szCs w:val="20"/>
        </w:rPr>
        <w:t>‘</w:t>
      </w:r>
      <w:r w:rsidR="009C6949" w:rsidRPr="009C6949">
        <w:rPr>
          <w:rFonts w:cstheme="minorHAnsi"/>
          <w:sz w:val="20"/>
          <w:szCs w:val="20"/>
        </w:rPr>
        <w:t>M</w:t>
      </w:r>
      <w:r w:rsidRPr="009C6949">
        <w:rPr>
          <w:rFonts w:cstheme="minorHAnsi"/>
          <w:sz w:val="20"/>
          <w:szCs w:val="20"/>
        </w:rPr>
        <w:t xml:space="preserve">an of God’ </w:t>
      </w:r>
      <w:r w:rsidR="009C6949" w:rsidRPr="009C6949">
        <w:rPr>
          <w:rFonts w:cstheme="minorHAnsi"/>
          <w:sz w:val="20"/>
          <w:szCs w:val="20"/>
        </w:rPr>
        <w:t>(2 Tim 3.17)</w:t>
      </w:r>
    </w:p>
    <w:p w:rsidR="00900101" w:rsidRPr="009C6949" w:rsidRDefault="00900101" w:rsidP="001F569A">
      <w:pPr>
        <w:spacing w:after="0" w:line="360" w:lineRule="auto"/>
        <w:rPr>
          <w:rFonts w:cstheme="minorHAnsi"/>
          <w:sz w:val="20"/>
          <w:szCs w:val="20"/>
        </w:rPr>
      </w:pPr>
    </w:p>
    <w:p w:rsidR="00922E59" w:rsidRDefault="00922E59" w:rsidP="001F569A">
      <w:pPr>
        <w:spacing w:after="0" w:line="360" w:lineRule="auto"/>
        <w:rPr>
          <w:rFonts w:cstheme="minorHAnsi"/>
          <w:sz w:val="20"/>
          <w:szCs w:val="20"/>
        </w:rPr>
      </w:pPr>
    </w:p>
    <w:p w:rsidR="009C6949" w:rsidRPr="009C6949" w:rsidRDefault="009C6949" w:rsidP="001F569A">
      <w:pPr>
        <w:spacing w:after="0" w:line="360" w:lineRule="auto"/>
        <w:rPr>
          <w:rFonts w:cstheme="minorHAnsi"/>
          <w:sz w:val="20"/>
          <w:szCs w:val="20"/>
        </w:rPr>
      </w:pPr>
    </w:p>
    <w:p w:rsidR="00900101" w:rsidRPr="009C6949" w:rsidRDefault="00E31E44" w:rsidP="001F569A">
      <w:pPr>
        <w:spacing w:after="0" w:line="360" w:lineRule="auto"/>
        <w:rPr>
          <w:rFonts w:cstheme="minorHAnsi"/>
          <w:sz w:val="20"/>
          <w:szCs w:val="20"/>
        </w:rPr>
      </w:pPr>
      <w:r w:rsidRPr="009C6949">
        <w:rPr>
          <w:rFonts w:cstheme="minorHAnsi"/>
          <w:sz w:val="20"/>
          <w:szCs w:val="20"/>
        </w:rPr>
        <w:t>Summary</w:t>
      </w:r>
    </w:p>
    <w:p w:rsidR="00E31E44" w:rsidRPr="009C6949" w:rsidRDefault="00922E59" w:rsidP="009C6949">
      <w:pPr>
        <w:spacing w:after="0" w:line="360" w:lineRule="auto"/>
        <w:ind w:left="720"/>
        <w:rPr>
          <w:rFonts w:cstheme="minorHAnsi"/>
          <w:sz w:val="20"/>
          <w:szCs w:val="20"/>
        </w:rPr>
      </w:pPr>
      <w:r w:rsidRPr="009C6949">
        <w:rPr>
          <w:rFonts w:cstheme="minorHAnsi"/>
          <w:sz w:val="20"/>
          <w:szCs w:val="20"/>
        </w:rPr>
        <w:t>It is particular</w:t>
      </w:r>
      <w:r w:rsidR="009C6949" w:rsidRPr="009C6949">
        <w:rPr>
          <w:rFonts w:cstheme="minorHAnsi"/>
          <w:sz w:val="20"/>
          <w:szCs w:val="20"/>
        </w:rPr>
        <w:t>ly</w:t>
      </w:r>
      <w:r w:rsidRPr="009C6949">
        <w:rPr>
          <w:rFonts w:cstheme="minorHAnsi"/>
          <w:sz w:val="20"/>
          <w:szCs w:val="20"/>
        </w:rPr>
        <w:t xml:space="preserve"> through these people (prophet-preachers) in this context (the assembly of the people) that God now leads his people.</w:t>
      </w:r>
    </w:p>
    <w:p w:rsidR="00922E59" w:rsidRDefault="00922E59" w:rsidP="001F569A">
      <w:pPr>
        <w:spacing w:after="0" w:line="360" w:lineRule="auto"/>
        <w:rPr>
          <w:rFonts w:cstheme="minorHAnsi"/>
          <w:sz w:val="20"/>
          <w:szCs w:val="20"/>
        </w:rPr>
      </w:pPr>
    </w:p>
    <w:p w:rsidR="009C6949" w:rsidRPr="009C6949" w:rsidRDefault="009C6949" w:rsidP="001F569A">
      <w:pPr>
        <w:spacing w:after="0" w:line="360" w:lineRule="auto"/>
        <w:rPr>
          <w:rFonts w:cstheme="minorHAnsi"/>
          <w:sz w:val="20"/>
          <w:szCs w:val="20"/>
        </w:rPr>
      </w:pPr>
    </w:p>
    <w:p w:rsidR="00922E59" w:rsidRPr="009C6949" w:rsidRDefault="00922E59" w:rsidP="00922E59">
      <w:pPr>
        <w:spacing w:after="0" w:line="360" w:lineRule="auto"/>
        <w:rPr>
          <w:rFonts w:cstheme="minorHAnsi"/>
          <w:sz w:val="20"/>
          <w:szCs w:val="20"/>
        </w:rPr>
      </w:pPr>
      <w:r w:rsidRPr="009C6949">
        <w:rPr>
          <w:rFonts w:cstheme="minorHAnsi"/>
          <w:sz w:val="20"/>
          <w:szCs w:val="20"/>
        </w:rPr>
        <w:t>How is preaching theologically distinctive?</w:t>
      </w:r>
      <w:r w:rsidR="009C6949" w:rsidRPr="009C6949">
        <w:rPr>
          <w:rFonts w:cstheme="minorHAnsi"/>
          <w:sz w:val="20"/>
          <w:szCs w:val="20"/>
        </w:rPr>
        <w:t>...</w:t>
      </w:r>
    </w:p>
    <w:p w:rsidR="007A357F" w:rsidRPr="009C6949" w:rsidRDefault="007A357F" w:rsidP="001F569A">
      <w:pPr>
        <w:spacing w:after="0" w:line="360" w:lineRule="auto"/>
        <w:rPr>
          <w:rFonts w:cstheme="minorHAnsi"/>
          <w:sz w:val="20"/>
          <w:szCs w:val="20"/>
        </w:rPr>
      </w:pPr>
    </w:p>
    <w:p w:rsidR="007A357F" w:rsidRPr="009C6949" w:rsidRDefault="007A357F" w:rsidP="001F569A">
      <w:pPr>
        <w:spacing w:after="0" w:line="360" w:lineRule="auto"/>
        <w:rPr>
          <w:rFonts w:cstheme="minorHAnsi"/>
          <w:sz w:val="20"/>
          <w:szCs w:val="20"/>
        </w:rPr>
      </w:pPr>
    </w:p>
    <w:p w:rsidR="007A357F" w:rsidRPr="009C6949" w:rsidRDefault="007A357F" w:rsidP="001F569A">
      <w:pPr>
        <w:spacing w:after="0" w:line="360" w:lineRule="auto"/>
        <w:rPr>
          <w:rFonts w:cstheme="minorHAnsi"/>
          <w:b/>
          <w:szCs w:val="20"/>
        </w:rPr>
      </w:pPr>
      <w:r w:rsidRPr="009C6949">
        <w:rPr>
          <w:rFonts w:cstheme="minorHAnsi"/>
          <w:b/>
          <w:szCs w:val="20"/>
        </w:rPr>
        <w:t xml:space="preserve">3.  </w:t>
      </w:r>
      <w:r w:rsidR="00542E84">
        <w:rPr>
          <w:rFonts w:cstheme="minorHAnsi"/>
          <w:b/>
          <w:szCs w:val="20"/>
        </w:rPr>
        <w:t>V</w:t>
      </w:r>
      <w:r w:rsidRPr="009C6949">
        <w:rPr>
          <w:rFonts w:cstheme="minorHAnsi"/>
          <w:b/>
          <w:szCs w:val="20"/>
        </w:rPr>
        <w:t>oices</w:t>
      </w:r>
      <w:r w:rsidR="009D518C" w:rsidRPr="009C6949">
        <w:rPr>
          <w:rFonts w:cstheme="minorHAnsi"/>
          <w:b/>
          <w:szCs w:val="20"/>
        </w:rPr>
        <w:t xml:space="preserve"> from history</w:t>
      </w:r>
    </w:p>
    <w:p w:rsidR="00922E59" w:rsidRPr="009C6949" w:rsidRDefault="00DB78B8" w:rsidP="001F569A">
      <w:pPr>
        <w:spacing w:after="0" w:line="360" w:lineRule="auto"/>
        <w:rPr>
          <w:rFonts w:cstheme="minorHAnsi"/>
          <w:sz w:val="20"/>
          <w:szCs w:val="20"/>
        </w:rPr>
      </w:pPr>
      <w:r w:rsidRPr="009C6949">
        <w:rPr>
          <w:rFonts w:cstheme="minorHAnsi"/>
          <w:sz w:val="20"/>
          <w:szCs w:val="20"/>
        </w:rPr>
        <w:t>NT preachers as successors of OT priests/prophets</w:t>
      </w:r>
    </w:p>
    <w:p w:rsidR="00DB78B8" w:rsidRPr="009C6949" w:rsidRDefault="00DB78B8" w:rsidP="00542E84">
      <w:pPr>
        <w:spacing w:after="0" w:line="360" w:lineRule="auto"/>
        <w:ind w:left="720"/>
        <w:rPr>
          <w:rFonts w:cstheme="minorHAnsi"/>
          <w:sz w:val="20"/>
          <w:szCs w:val="20"/>
        </w:rPr>
      </w:pPr>
      <w:r w:rsidRPr="009C6949">
        <w:rPr>
          <w:rFonts w:cstheme="minorHAnsi"/>
          <w:sz w:val="20"/>
          <w:szCs w:val="20"/>
        </w:rPr>
        <w:t xml:space="preserve">John Calvin, </w:t>
      </w:r>
      <w:r w:rsidRPr="009C6949">
        <w:rPr>
          <w:rFonts w:cstheme="minorHAnsi"/>
          <w:i/>
          <w:sz w:val="20"/>
          <w:szCs w:val="20"/>
        </w:rPr>
        <w:t>Institutes of the Christian Religion</w:t>
      </w:r>
      <w:r w:rsidRPr="009C6949">
        <w:rPr>
          <w:rFonts w:cstheme="minorHAnsi"/>
          <w:sz w:val="20"/>
          <w:szCs w:val="20"/>
        </w:rPr>
        <w:t xml:space="preserve"> 4.1.5.</w:t>
      </w:r>
    </w:p>
    <w:p w:rsidR="00DB78B8" w:rsidRPr="009C6949" w:rsidRDefault="00DB78B8" w:rsidP="009C6949">
      <w:pPr>
        <w:spacing w:after="0" w:line="360" w:lineRule="auto"/>
        <w:ind w:left="720"/>
        <w:rPr>
          <w:rFonts w:cstheme="minorHAnsi"/>
          <w:sz w:val="20"/>
          <w:szCs w:val="20"/>
        </w:rPr>
      </w:pPr>
      <w:r w:rsidRPr="009C6949">
        <w:rPr>
          <w:rFonts w:cstheme="minorHAnsi"/>
          <w:sz w:val="20"/>
          <w:szCs w:val="20"/>
        </w:rPr>
        <w:t xml:space="preserve"> ‘[God ensured that Israel] ‘should never be destitute of prophets.  But as he did not entrust the ancient folk to angels but raised up teachers from the earth truly to perform the angelic office, so today also it is his will to teach us through human means.  As of old he was not content with the law alone, but added priests as interpreters from whose lips the people might ask its true meaning, so today he not only desires us to be attentive to its reading, but also appoints instructors to help us by their effort.  This is doubly useful.  On the one hand, he proves our obedience by a very good test when we hear his ministers speaking just as he himself spoke.  On the other, he also provides for our weakness in that he prefers to address us in human fashion through interpreters in order to draw us to himself, rather than to thunder at us and drive us away.  Indeed, from the dread with which God’s majesty justly overwhelms them, all the pious truly feel how much this familiar sort of teaching is needed.’</w:t>
      </w:r>
    </w:p>
    <w:p w:rsidR="00922E59" w:rsidRPr="009C6949" w:rsidRDefault="00922E59" w:rsidP="001F569A">
      <w:pPr>
        <w:spacing w:after="0" w:line="360" w:lineRule="auto"/>
        <w:rPr>
          <w:rFonts w:cstheme="minorHAnsi"/>
          <w:sz w:val="20"/>
          <w:szCs w:val="20"/>
        </w:rPr>
      </w:pPr>
    </w:p>
    <w:p w:rsidR="009C6949" w:rsidRPr="009C6949" w:rsidRDefault="009C6949" w:rsidP="001F569A">
      <w:pPr>
        <w:spacing w:after="0" w:line="360" w:lineRule="auto"/>
        <w:rPr>
          <w:rFonts w:cstheme="minorHAnsi"/>
          <w:sz w:val="20"/>
          <w:szCs w:val="20"/>
        </w:rPr>
      </w:pPr>
    </w:p>
    <w:p w:rsidR="00DB78B8" w:rsidRPr="009C6949" w:rsidRDefault="00DB78B8" w:rsidP="00DB78B8">
      <w:pPr>
        <w:spacing w:after="0" w:line="360" w:lineRule="auto"/>
        <w:rPr>
          <w:rFonts w:cstheme="minorHAnsi"/>
          <w:sz w:val="20"/>
          <w:szCs w:val="20"/>
        </w:rPr>
      </w:pPr>
      <w:r w:rsidRPr="009C6949">
        <w:rPr>
          <w:rFonts w:cstheme="minorHAnsi"/>
          <w:sz w:val="20"/>
          <w:szCs w:val="20"/>
        </w:rPr>
        <w:t>The function of preaching in the assembly</w:t>
      </w:r>
    </w:p>
    <w:p w:rsidR="00DB78B8" w:rsidRPr="009C6949" w:rsidRDefault="00DB78B8" w:rsidP="00542E84">
      <w:pPr>
        <w:tabs>
          <w:tab w:val="left" w:pos="1290"/>
        </w:tabs>
        <w:spacing w:after="0" w:line="360" w:lineRule="auto"/>
        <w:ind w:left="720"/>
        <w:rPr>
          <w:rFonts w:cstheme="minorHAnsi"/>
          <w:sz w:val="20"/>
          <w:szCs w:val="20"/>
        </w:rPr>
      </w:pPr>
      <w:r w:rsidRPr="009C6949">
        <w:rPr>
          <w:rFonts w:cstheme="minorHAnsi"/>
          <w:sz w:val="20"/>
          <w:szCs w:val="20"/>
        </w:rPr>
        <w:t xml:space="preserve">William Perkins, </w:t>
      </w:r>
      <w:r w:rsidRPr="009C6949">
        <w:rPr>
          <w:rFonts w:cstheme="minorHAnsi"/>
          <w:i/>
          <w:sz w:val="20"/>
          <w:szCs w:val="20"/>
        </w:rPr>
        <w:t>The Art of Prophesying</w:t>
      </w:r>
    </w:p>
    <w:p w:rsidR="00DB78B8" w:rsidRPr="009C6949" w:rsidRDefault="00DB78B8" w:rsidP="009C6949">
      <w:pPr>
        <w:tabs>
          <w:tab w:val="left" w:pos="1290"/>
        </w:tabs>
        <w:spacing w:after="0" w:line="360" w:lineRule="auto"/>
        <w:ind w:left="720"/>
        <w:rPr>
          <w:rFonts w:cstheme="minorHAnsi"/>
          <w:sz w:val="20"/>
          <w:szCs w:val="20"/>
        </w:rPr>
      </w:pPr>
      <w:r w:rsidRPr="009C6949">
        <w:rPr>
          <w:rFonts w:cstheme="minorHAnsi"/>
          <w:sz w:val="20"/>
          <w:szCs w:val="20"/>
        </w:rPr>
        <w:t>‘In keeping with its dignity, preaching has a twofold value:  (1) It is instrumental in gathering the church and bringing together all of the elect;  (2) It drives away the wolves from the fold of the Lord’ (p.3).</w:t>
      </w:r>
    </w:p>
    <w:p w:rsidR="00922E59" w:rsidRPr="009C6949" w:rsidRDefault="00922E59" w:rsidP="001F569A">
      <w:pPr>
        <w:spacing w:after="0" w:line="360" w:lineRule="auto"/>
        <w:rPr>
          <w:rFonts w:cstheme="minorHAnsi"/>
          <w:sz w:val="20"/>
          <w:szCs w:val="20"/>
        </w:rPr>
      </w:pPr>
    </w:p>
    <w:p w:rsidR="009C6949" w:rsidRPr="009C6949" w:rsidRDefault="009C6949" w:rsidP="001F569A">
      <w:pPr>
        <w:spacing w:after="0" w:line="360" w:lineRule="auto"/>
        <w:rPr>
          <w:rFonts w:cstheme="minorHAnsi"/>
          <w:sz w:val="20"/>
          <w:szCs w:val="20"/>
        </w:rPr>
      </w:pPr>
    </w:p>
    <w:p w:rsidR="00DB78B8" w:rsidRPr="009C6949" w:rsidRDefault="00DB78B8" w:rsidP="001F569A">
      <w:pPr>
        <w:spacing w:after="0" w:line="360" w:lineRule="auto"/>
        <w:rPr>
          <w:rFonts w:cstheme="minorHAnsi"/>
          <w:sz w:val="20"/>
          <w:szCs w:val="20"/>
        </w:rPr>
      </w:pPr>
      <w:r w:rsidRPr="009C6949">
        <w:rPr>
          <w:rFonts w:cstheme="minorHAnsi"/>
          <w:sz w:val="20"/>
          <w:szCs w:val="20"/>
        </w:rPr>
        <w:t>Christ’s on-going prophetic ministry, through appointed minister</w:t>
      </w:r>
      <w:r w:rsidR="00542E84">
        <w:rPr>
          <w:rFonts w:cstheme="minorHAnsi"/>
          <w:sz w:val="20"/>
          <w:szCs w:val="20"/>
        </w:rPr>
        <w:t>s</w:t>
      </w:r>
      <w:r w:rsidRPr="009C6949">
        <w:rPr>
          <w:rFonts w:cstheme="minorHAnsi"/>
          <w:sz w:val="20"/>
          <w:szCs w:val="20"/>
        </w:rPr>
        <w:t xml:space="preserve"> and through all his people</w:t>
      </w:r>
    </w:p>
    <w:p w:rsidR="00DB78B8" w:rsidRPr="009C6949" w:rsidRDefault="00DB78B8" w:rsidP="00542E84">
      <w:pPr>
        <w:spacing w:after="0" w:line="360" w:lineRule="auto"/>
        <w:ind w:left="720"/>
        <w:rPr>
          <w:rFonts w:cstheme="minorHAnsi"/>
          <w:sz w:val="20"/>
          <w:szCs w:val="20"/>
        </w:rPr>
      </w:pPr>
      <w:r w:rsidRPr="009C6949">
        <w:rPr>
          <w:rFonts w:cstheme="minorHAnsi"/>
          <w:sz w:val="20"/>
          <w:szCs w:val="20"/>
        </w:rPr>
        <w:t xml:space="preserve">Herman Bavinck, </w:t>
      </w:r>
      <w:r w:rsidRPr="009C6949">
        <w:rPr>
          <w:rFonts w:cstheme="minorHAnsi"/>
          <w:i/>
          <w:sz w:val="20"/>
          <w:szCs w:val="20"/>
        </w:rPr>
        <w:t xml:space="preserve">Reformed </w:t>
      </w:r>
      <w:proofErr w:type="spellStart"/>
      <w:r w:rsidRPr="009C6949">
        <w:rPr>
          <w:rFonts w:cstheme="minorHAnsi"/>
          <w:i/>
          <w:sz w:val="20"/>
          <w:szCs w:val="20"/>
        </w:rPr>
        <w:t>Dogmatics</w:t>
      </w:r>
      <w:proofErr w:type="spellEnd"/>
      <w:r w:rsidRPr="009C6949">
        <w:rPr>
          <w:rFonts w:cstheme="minorHAnsi"/>
          <w:sz w:val="20"/>
          <w:szCs w:val="20"/>
        </w:rPr>
        <w:t xml:space="preserve"> vol.4</w:t>
      </w:r>
    </w:p>
    <w:p w:rsidR="00DB78B8" w:rsidRPr="009C6949" w:rsidRDefault="00DB78B8" w:rsidP="009C6949">
      <w:pPr>
        <w:spacing w:after="0" w:line="360" w:lineRule="auto"/>
        <w:ind w:left="720"/>
        <w:rPr>
          <w:rFonts w:cstheme="minorHAnsi"/>
          <w:sz w:val="20"/>
          <w:szCs w:val="20"/>
        </w:rPr>
      </w:pPr>
      <w:r w:rsidRPr="009C6949">
        <w:rPr>
          <w:rFonts w:cstheme="minorHAnsi"/>
          <w:sz w:val="20"/>
          <w:szCs w:val="20"/>
        </w:rPr>
        <w:t>‘The power to teach has its roots in the prophetic office for which Christ has been anointed and which he himself continually still exercises by his Word and Spirit.  Christ has never transferred it to any human being … but he is still continually our chief prophet. … Still, in this connection he regularly employs people as his organs, not only office bearers in the strict sense, but all believers, every one of them according to the grace given to them’ (p.418).</w:t>
      </w:r>
    </w:p>
    <w:p w:rsidR="007A357F" w:rsidRPr="009C6949" w:rsidRDefault="007A357F" w:rsidP="001F569A">
      <w:pPr>
        <w:spacing w:after="0" w:line="360" w:lineRule="auto"/>
        <w:rPr>
          <w:rFonts w:cstheme="minorHAnsi"/>
          <w:b/>
          <w:szCs w:val="20"/>
        </w:rPr>
      </w:pPr>
      <w:r w:rsidRPr="009C6949">
        <w:rPr>
          <w:rFonts w:cstheme="minorHAnsi"/>
          <w:b/>
          <w:szCs w:val="20"/>
        </w:rPr>
        <w:t>4.  Preaching Christ</w:t>
      </w:r>
    </w:p>
    <w:p w:rsidR="00C812FB" w:rsidRPr="009C6949" w:rsidRDefault="00C812FB" w:rsidP="00C812FB">
      <w:pPr>
        <w:spacing w:after="0" w:line="360" w:lineRule="auto"/>
        <w:rPr>
          <w:rFonts w:cstheme="minorHAnsi"/>
          <w:sz w:val="20"/>
          <w:szCs w:val="20"/>
        </w:rPr>
      </w:pPr>
      <w:r w:rsidRPr="009C6949">
        <w:rPr>
          <w:rFonts w:cstheme="minorHAnsi"/>
          <w:sz w:val="20"/>
          <w:szCs w:val="20"/>
        </w:rPr>
        <w:t>Michael Horton:  ‘It is crucial to realise that for the Reformers the proclamation of the Word is not simply teaching concerning Christ, but the personal address of Christ himself through which the Spirit delivers Christ to us and invites us to him.’</w:t>
      </w:r>
      <w:r w:rsidRPr="009C6949">
        <w:rPr>
          <w:rFonts w:cstheme="minorHAnsi"/>
          <w:sz w:val="20"/>
          <w:szCs w:val="20"/>
          <w:vertAlign w:val="superscript"/>
        </w:rPr>
        <w:footnoteReference w:id="2"/>
      </w:r>
    </w:p>
    <w:p w:rsidR="007A357F" w:rsidRPr="009C6949" w:rsidRDefault="007A357F" w:rsidP="001F569A">
      <w:pPr>
        <w:spacing w:after="0" w:line="360" w:lineRule="auto"/>
        <w:rPr>
          <w:rFonts w:cstheme="minorHAnsi"/>
          <w:sz w:val="20"/>
          <w:szCs w:val="20"/>
        </w:rPr>
      </w:pPr>
    </w:p>
    <w:p w:rsidR="00C812FB" w:rsidRPr="009C6949" w:rsidRDefault="00C812FB" w:rsidP="00C812FB">
      <w:pPr>
        <w:spacing w:after="0" w:line="360" w:lineRule="auto"/>
        <w:rPr>
          <w:rFonts w:cstheme="minorHAnsi"/>
          <w:sz w:val="20"/>
          <w:szCs w:val="20"/>
        </w:rPr>
      </w:pPr>
      <w:r w:rsidRPr="009C6949">
        <w:rPr>
          <w:rFonts w:cstheme="minorHAnsi"/>
          <w:sz w:val="20"/>
          <w:szCs w:val="20"/>
        </w:rPr>
        <w:t>D.A. Carson:  the sermon is ‘re-revelation’ … ‘God  … is re-revealing himself by that same Word once again.  Preachers must bear this in mind….  Their aim is more than to explain the Bible, however important that aim is.  They want the proclamation of God’s Word to be a revelatory event, a moment when God discloses himself afresh, a time when the people of God know that they have met with the living God.’</w:t>
      </w:r>
      <w:r w:rsidRPr="009C6949">
        <w:rPr>
          <w:rFonts w:cstheme="minorHAnsi"/>
          <w:sz w:val="20"/>
          <w:szCs w:val="20"/>
          <w:vertAlign w:val="superscript"/>
        </w:rPr>
        <w:footnoteReference w:id="3"/>
      </w:r>
    </w:p>
    <w:p w:rsidR="00A814AA" w:rsidRPr="009C6949" w:rsidRDefault="00A814AA" w:rsidP="001F569A">
      <w:pPr>
        <w:spacing w:after="0" w:line="360" w:lineRule="auto"/>
        <w:rPr>
          <w:rFonts w:cstheme="minorHAnsi"/>
          <w:sz w:val="20"/>
          <w:szCs w:val="20"/>
        </w:rPr>
      </w:pPr>
    </w:p>
    <w:p w:rsidR="00A814AA" w:rsidRPr="009C6949" w:rsidRDefault="00A814AA" w:rsidP="001F569A">
      <w:pPr>
        <w:spacing w:after="0" w:line="360" w:lineRule="auto"/>
        <w:rPr>
          <w:rFonts w:cstheme="minorHAnsi"/>
          <w:sz w:val="20"/>
          <w:szCs w:val="20"/>
        </w:rPr>
      </w:pPr>
    </w:p>
    <w:p w:rsidR="007A357F" w:rsidRPr="009C6949" w:rsidRDefault="007A357F" w:rsidP="001F569A">
      <w:pPr>
        <w:spacing w:after="0" w:line="360" w:lineRule="auto"/>
        <w:rPr>
          <w:rFonts w:cstheme="minorHAnsi"/>
          <w:b/>
          <w:szCs w:val="20"/>
        </w:rPr>
      </w:pPr>
      <w:r w:rsidRPr="009C6949">
        <w:rPr>
          <w:rFonts w:cstheme="minorHAnsi"/>
          <w:b/>
          <w:szCs w:val="20"/>
        </w:rPr>
        <w:t>5.  Preaching and the gospel</w:t>
      </w:r>
    </w:p>
    <w:p w:rsidR="009D518C" w:rsidRPr="009C6949" w:rsidRDefault="00C812FB" w:rsidP="001F569A">
      <w:pPr>
        <w:spacing w:after="0" w:line="360" w:lineRule="auto"/>
        <w:rPr>
          <w:rFonts w:cstheme="minorHAnsi"/>
          <w:sz w:val="20"/>
          <w:szCs w:val="20"/>
        </w:rPr>
      </w:pPr>
      <w:r w:rsidRPr="009C6949">
        <w:rPr>
          <w:rFonts w:cstheme="minorHAnsi"/>
          <w:sz w:val="20"/>
          <w:szCs w:val="20"/>
        </w:rPr>
        <w:t xml:space="preserve">The very form </w:t>
      </w:r>
      <w:r w:rsidR="006477B2">
        <w:rPr>
          <w:rFonts w:cstheme="minorHAnsi"/>
          <w:sz w:val="20"/>
          <w:szCs w:val="20"/>
        </w:rPr>
        <w:t xml:space="preserve">of a Sunday </w:t>
      </w:r>
      <w:r w:rsidR="00542E84">
        <w:rPr>
          <w:rFonts w:cstheme="minorHAnsi"/>
          <w:sz w:val="20"/>
          <w:szCs w:val="20"/>
        </w:rPr>
        <w:t xml:space="preserve">sermon </w:t>
      </w:r>
      <w:r w:rsidRPr="009C6949">
        <w:rPr>
          <w:rFonts w:cstheme="minorHAnsi"/>
          <w:sz w:val="20"/>
          <w:szCs w:val="20"/>
        </w:rPr>
        <w:t>expresses grace:</w:t>
      </w:r>
    </w:p>
    <w:p w:rsidR="00C812FB" w:rsidRPr="009C6949" w:rsidRDefault="00C812FB" w:rsidP="009C6949">
      <w:pPr>
        <w:spacing w:after="0" w:line="360" w:lineRule="auto"/>
        <w:ind w:left="720"/>
        <w:rPr>
          <w:rFonts w:cstheme="minorHAnsi"/>
          <w:sz w:val="20"/>
          <w:szCs w:val="20"/>
        </w:rPr>
      </w:pPr>
      <w:r w:rsidRPr="009C6949">
        <w:rPr>
          <w:rFonts w:cstheme="minorHAnsi"/>
          <w:sz w:val="20"/>
          <w:szCs w:val="20"/>
        </w:rPr>
        <w:t>-  a message to which we contribute nothing but open ears and hearts</w:t>
      </w:r>
    </w:p>
    <w:p w:rsidR="00C812FB" w:rsidRPr="009C6949" w:rsidRDefault="00C812FB" w:rsidP="009C6949">
      <w:pPr>
        <w:spacing w:after="0" w:line="360" w:lineRule="auto"/>
        <w:ind w:left="720"/>
        <w:rPr>
          <w:rFonts w:cstheme="minorHAnsi"/>
          <w:sz w:val="20"/>
          <w:szCs w:val="20"/>
        </w:rPr>
      </w:pPr>
      <w:r w:rsidRPr="009C6949">
        <w:rPr>
          <w:rFonts w:cstheme="minorHAnsi"/>
          <w:sz w:val="20"/>
          <w:szCs w:val="20"/>
        </w:rPr>
        <w:t>-  one way to be saved, whoever you are.</w:t>
      </w:r>
    </w:p>
    <w:p w:rsidR="00C812FB" w:rsidRPr="009C6949" w:rsidRDefault="00C812FB" w:rsidP="001F569A">
      <w:pPr>
        <w:spacing w:after="0" w:line="360" w:lineRule="auto"/>
        <w:rPr>
          <w:rFonts w:cstheme="minorHAnsi"/>
          <w:sz w:val="20"/>
          <w:szCs w:val="20"/>
        </w:rPr>
      </w:pPr>
    </w:p>
    <w:p w:rsidR="00C812FB" w:rsidRPr="009C6949" w:rsidRDefault="00C812FB" w:rsidP="001F569A">
      <w:pPr>
        <w:spacing w:after="0" w:line="360" w:lineRule="auto"/>
        <w:rPr>
          <w:rFonts w:cstheme="minorHAnsi"/>
          <w:sz w:val="20"/>
          <w:szCs w:val="20"/>
        </w:rPr>
      </w:pPr>
      <w:r w:rsidRPr="009C6949">
        <w:rPr>
          <w:rFonts w:cstheme="minorHAnsi"/>
          <w:sz w:val="20"/>
          <w:szCs w:val="20"/>
        </w:rPr>
        <w:t>Hence preaching is trans-cultural.</w:t>
      </w:r>
    </w:p>
    <w:p w:rsidR="009D518C" w:rsidRPr="009C6949" w:rsidRDefault="009D518C" w:rsidP="001F569A">
      <w:pPr>
        <w:spacing w:after="0" w:line="360" w:lineRule="auto"/>
        <w:rPr>
          <w:rFonts w:cstheme="minorHAnsi"/>
          <w:b/>
          <w:sz w:val="20"/>
          <w:szCs w:val="20"/>
        </w:rPr>
      </w:pPr>
    </w:p>
    <w:p w:rsidR="009D518C" w:rsidRPr="009C6949" w:rsidRDefault="009D518C" w:rsidP="001F569A">
      <w:pPr>
        <w:spacing w:after="0" w:line="360" w:lineRule="auto"/>
        <w:rPr>
          <w:rFonts w:cstheme="minorHAnsi"/>
          <w:b/>
          <w:sz w:val="20"/>
          <w:szCs w:val="20"/>
        </w:rPr>
      </w:pPr>
    </w:p>
    <w:p w:rsidR="009D518C" w:rsidRPr="009C6949" w:rsidRDefault="009D518C" w:rsidP="001F569A">
      <w:pPr>
        <w:spacing w:after="0" w:line="360" w:lineRule="auto"/>
        <w:rPr>
          <w:rFonts w:cstheme="minorHAnsi"/>
          <w:b/>
          <w:szCs w:val="20"/>
        </w:rPr>
      </w:pPr>
      <w:r w:rsidRPr="009C6949">
        <w:rPr>
          <w:rFonts w:cstheme="minorHAnsi"/>
          <w:b/>
          <w:szCs w:val="20"/>
        </w:rPr>
        <w:t>6.  The question of a preacher’s authority</w:t>
      </w:r>
    </w:p>
    <w:p w:rsidR="007A357F" w:rsidRPr="009C6949" w:rsidRDefault="007A357F" w:rsidP="001F569A">
      <w:pPr>
        <w:spacing w:after="0" w:line="360" w:lineRule="auto"/>
        <w:rPr>
          <w:rFonts w:cstheme="minorHAnsi"/>
          <w:sz w:val="20"/>
          <w:szCs w:val="20"/>
        </w:rPr>
      </w:pPr>
    </w:p>
    <w:p w:rsidR="007A357F" w:rsidRPr="009C6949" w:rsidRDefault="007A357F" w:rsidP="001F569A">
      <w:pPr>
        <w:spacing w:after="0" w:line="360" w:lineRule="auto"/>
        <w:rPr>
          <w:rFonts w:cstheme="minorHAnsi"/>
          <w:sz w:val="20"/>
          <w:szCs w:val="20"/>
        </w:rPr>
      </w:pPr>
    </w:p>
    <w:p w:rsidR="00C15C21" w:rsidRPr="009C6949" w:rsidRDefault="00C15C21" w:rsidP="001F569A">
      <w:pPr>
        <w:spacing w:after="0" w:line="360" w:lineRule="auto"/>
        <w:rPr>
          <w:rFonts w:cstheme="minorHAnsi"/>
          <w:sz w:val="20"/>
          <w:szCs w:val="20"/>
        </w:rPr>
      </w:pPr>
    </w:p>
    <w:p w:rsidR="001F569A" w:rsidRPr="009C6949" w:rsidRDefault="001F569A" w:rsidP="001F569A">
      <w:pPr>
        <w:spacing w:after="0" w:line="360" w:lineRule="auto"/>
        <w:rPr>
          <w:rFonts w:cstheme="minorHAnsi"/>
          <w:sz w:val="20"/>
          <w:szCs w:val="20"/>
        </w:rPr>
      </w:pPr>
    </w:p>
    <w:p w:rsidR="001F569A" w:rsidRPr="009C6949" w:rsidRDefault="001F569A" w:rsidP="001F569A">
      <w:pPr>
        <w:spacing w:after="0" w:line="360" w:lineRule="auto"/>
        <w:rPr>
          <w:rFonts w:cstheme="minorHAnsi"/>
          <w:sz w:val="20"/>
          <w:szCs w:val="20"/>
        </w:rPr>
      </w:pPr>
    </w:p>
    <w:p w:rsidR="00C63203" w:rsidRPr="009C6949" w:rsidRDefault="00C63203" w:rsidP="00C63203">
      <w:pPr>
        <w:spacing w:after="0" w:line="360" w:lineRule="auto"/>
        <w:rPr>
          <w:rFonts w:cstheme="minorHAnsi"/>
          <w:sz w:val="20"/>
          <w:szCs w:val="20"/>
        </w:rPr>
      </w:pPr>
    </w:p>
    <w:p w:rsidR="00C63203" w:rsidRPr="009C6949" w:rsidRDefault="00C63203" w:rsidP="00C63203">
      <w:pPr>
        <w:spacing w:after="0" w:line="360" w:lineRule="auto"/>
        <w:rPr>
          <w:rFonts w:cstheme="minorHAnsi"/>
          <w:sz w:val="20"/>
          <w:szCs w:val="20"/>
        </w:rPr>
      </w:pPr>
    </w:p>
    <w:sectPr w:rsidR="00C63203" w:rsidRPr="009C6949" w:rsidSect="00585AF6">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AF6" w:rsidRDefault="00585AF6" w:rsidP="00C63203">
      <w:pPr>
        <w:spacing w:after="0" w:line="240" w:lineRule="auto"/>
      </w:pPr>
      <w:r>
        <w:separator/>
      </w:r>
    </w:p>
  </w:endnote>
  <w:endnote w:type="continuationSeparator" w:id="0">
    <w:p w:rsidR="00585AF6" w:rsidRDefault="00585AF6" w:rsidP="00C6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66250"/>
      <w:docPartObj>
        <w:docPartGallery w:val="Page Numbers (Bottom of Page)"/>
        <w:docPartUnique/>
      </w:docPartObj>
    </w:sdtPr>
    <w:sdtEndPr>
      <w:rPr>
        <w:rFonts w:cstheme="minorHAnsi"/>
        <w:noProof/>
        <w:sz w:val="20"/>
        <w:szCs w:val="20"/>
      </w:rPr>
    </w:sdtEndPr>
    <w:sdtContent>
      <w:p w:rsidR="0091569C" w:rsidRPr="009C6949" w:rsidRDefault="0091569C">
        <w:pPr>
          <w:pStyle w:val="Footer"/>
          <w:jc w:val="center"/>
          <w:rPr>
            <w:rFonts w:cstheme="minorHAnsi"/>
            <w:sz w:val="20"/>
            <w:szCs w:val="20"/>
          </w:rPr>
        </w:pPr>
        <w:r w:rsidRPr="009C6949">
          <w:rPr>
            <w:rFonts w:cstheme="minorHAnsi"/>
            <w:sz w:val="20"/>
            <w:szCs w:val="20"/>
          </w:rPr>
          <w:fldChar w:fldCharType="begin"/>
        </w:r>
        <w:r w:rsidRPr="009C6949">
          <w:rPr>
            <w:rFonts w:cstheme="minorHAnsi"/>
            <w:sz w:val="20"/>
            <w:szCs w:val="20"/>
          </w:rPr>
          <w:instrText xml:space="preserve"> PAGE   \* MERGEFORMAT </w:instrText>
        </w:r>
        <w:r w:rsidRPr="009C6949">
          <w:rPr>
            <w:rFonts w:cstheme="minorHAnsi"/>
            <w:sz w:val="20"/>
            <w:szCs w:val="20"/>
          </w:rPr>
          <w:fldChar w:fldCharType="separate"/>
        </w:r>
        <w:r w:rsidR="00542E84">
          <w:rPr>
            <w:rFonts w:cstheme="minorHAnsi"/>
            <w:noProof/>
            <w:sz w:val="20"/>
            <w:szCs w:val="20"/>
          </w:rPr>
          <w:t>3</w:t>
        </w:r>
        <w:r w:rsidRPr="009C6949">
          <w:rPr>
            <w:rFonts w:cstheme="minorHAnsi"/>
            <w:noProof/>
            <w:sz w:val="20"/>
            <w:szCs w:val="20"/>
          </w:rPr>
          <w:fldChar w:fldCharType="end"/>
        </w:r>
      </w:p>
    </w:sdtContent>
  </w:sdt>
  <w:p w:rsidR="0091569C" w:rsidRDefault="0091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AF6" w:rsidRDefault="00585AF6" w:rsidP="00C63203">
      <w:pPr>
        <w:spacing w:after="0" w:line="240" w:lineRule="auto"/>
      </w:pPr>
      <w:r>
        <w:separator/>
      </w:r>
    </w:p>
  </w:footnote>
  <w:footnote w:type="continuationSeparator" w:id="0">
    <w:p w:rsidR="00585AF6" w:rsidRDefault="00585AF6" w:rsidP="00C63203">
      <w:pPr>
        <w:spacing w:after="0" w:line="240" w:lineRule="auto"/>
      </w:pPr>
      <w:r>
        <w:continuationSeparator/>
      </w:r>
    </w:p>
  </w:footnote>
  <w:footnote w:id="1">
    <w:p w:rsidR="00C63203" w:rsidRPr="009C6949" w:rsidRDefault="00C63203" w:rsidP="00C63203">
      <w:pPr>
        <w:pStyle w:val="FootnoteText"/>
        <w:rPr>
          <w:rFonts w:cstheme="minorHAnsi"/>
          <w:sz w:val="18"/>
        </w:rPr>
      </w:pPr>
      <w:r w:rsidRPr="009C6949">
        <w:rPr>
          <w:rStyle w:val="FootnoteReference"/>
          <w:rFonts w:cstheme="minorHAnsi"/>
          <w:sz w:val="18"/>
        </w:rPr>
        <w:footnoteRef/>
      </w:r>
      <w:r w:rsidRPr="009C6949">
        <w:rPr>
          <w:rFonts w:cstheme="minorHAnsi"/>
          <w:sz w:val="18"/>
        </w:rPr>
        <w:t xml:space="preserve"> </w:t>
      </w:r>
      <w:r w:rsidR="009C6949" w:rsidRPr="009C6949">
        <w:rPr>
          <w:rFonts w:cstheme="minorHAnsi"/>
          <w:sz w:val="18"/>
        </w:rPr>
        <w:t>‘Preaching and the Church’, paper delivered at 13</w:t>
      </w:r>
      <w:r w:rsidR="009C6949" w:rsidRPr="009C6949">
        <w:rPr>
          <w:rFonts w:cstheme="minorHAnsi"/>
          <w:sz w:val="18"/>
          <w:vertAlign w:val="superscript"/>
        </w:rPr>
        <w:t>th</w:t>
      </w:r>
      <w:r w:rsidR="009C6949" w:rsidRPr="009C6949">
        <w:rPr>
          <w:rFonts w:cstheme="minorHAnsi"/>
          <w:sz w:val="18"/>
        </w:rPr>
        <w:t xml:space="preserve"> Edinburgh Dogmatics Conference, 2009 </w:t>
      </w:r>
      <w:hyperlink r:id="rId1" w:history="1">
        <w:r w:rsidRPr="009C6949">
          <w:rPr>
            <w:rStyle w:val="Hyperlink"/>
            <w:rFonts w:cstheme="minorHAnsi"/>
            <w:sz w:val="18"/>
          </w:rPr>
          <w:t>https://www.academia.edu/7250492/Preaching_and_the_Church</w:t>
        </w:r>
      </w:hyperlink>
    </w:p>
  </w:footnote>
  <w:footnote w:id="2">
    <w:p w:rsidR="00C812FB" w:rsidRPr="009C6949" w:rsidRDefault="00C812FB" w:rsidP="00C812FB">
      <w:pPr>
        <w:pStyle w:val="FootnoteText"/>
        <w:rPr>
          <w:rFonts w:cstheme="minorHAnsi"/>
          <w:sz w:val="18"/>
        </w:rPr>
      </w:pPr>
      <w:r w:rsidRPr="009C6949">
        <w:rPr>
          <w:rStyle w:val="FootnoteReference"/>
          <w:rFonts w:cstheme="minorHAnsi"/>
          <w:sz w:val="18"/>
        </w:rPr>
        <w:footnoteRef/>
      </w:r>
      <w:r w:rsidRPr="009C6949">
        <w:rPr>
          <w:rFonts w:cstheme="minorHAnsi"/>
          <w:sz w:val="18"/>
        </w:rPr>
        <w:t xml:space="preserve"> Michael Horton, </w:t>
      </w:r>
      <w:r w:rsidRPr="009C6949">
        <w:rPr>
          <w:rFonts w:cstheme="minorHAnsi"/>
          <w:i/>
          <w:sz w:val="18"/>
        </w:rPr>
        <w:t>The Christian Faith</w:t>
      </w:r>
      <w:r w:rsidRPr="009C6949">
        <w:rPr>
          <w:rFonts w:cstheme="minorHAnsi"/>
          <w:sz w:val="18"/>
        </w:rPr>
        <w:t xml:space="preserve"> (Grand Rapids, Michigan: Zondervan, 2011), 758.</w:t>
      </w:r>
    </w:p>
  </w:footnote>
  <w:footnote w:id="3">
    <w:p w:rsidR="00C812FB" w:rsidRPr="009C6949" w:rsidRDefault="00C812FB" w:rsidP="00C812FB">
      <w:pPr>
        <w:pStyle w:val="FootnoteText"/>
        <w:rPr>
          <w:rFonts w:cstheme="minorHAnsi"/>
          <w:sz w:val="18"/>
        </w:rPr>
      </w:pPr>
      <w:r w:rsidRPr="009C6949">
        <w:rPr>
          <w:rStyle w:val="FootnoteReference"/>
          <w:rFonts w:cstheme="minorHAnsi"/>
          <w:sz w:val="18"/>
        </w:rPr>
        <w:footnoteRef/>
      </w:r>
      <w:r w:rsidRPr="009C6949">
        <w:rPr>
          <w:rFonts w:cstheme="minorHAnsi"/>
          <w:sz w:val="18"/>
        </w:rPr>
        <w:t xml:space="preserve"> D.A. Carson, ‘Challenges for the Twenty-first-century pulpit’, in Leland Ryken &amp; Todd Wilson (eds), </w:t>
      </w:r>
      <w:r w:rsidRPr="009C6949">
        <w:rPr>
          <w:rFonts w:cstheme="minorHAnsi"/>
          <w:i/>
          <w:sz w:val="18"/>
        </w:rPr>
        <w:t>Preach the Word: Essays on Expository Preaching in Honor of R. Kent Hughes</w:t>
      </w:r>
      <w:r w:rsidRPr="009C6949">
        <w:rPr>
          <w:rFonts w:cstheme="minorHAnsi"/>
          <w:sz w:val="18"/>
        </w:rPr>
        <w:t xml:space="preserve"> (Wheaton, Illinois: Crossway, 2007), 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D9"/>
    <w:rsid w:val="000255E4"/>
    <w:rsid w:val="00067F38"/>
    <w:rsid w:val="00153691"/>
    <w:rsid w:val="001F569A"/>
    <w:rsid w:val="003F4B70"/>
    <w:rsid w:val="00542E84"/>
    <w:rsid w:val="00565F93"/>
    <w:rsid w:val="00585AF6"/>
    <w:rsid w:val="0059094E"/>
    <w:rsid w:val="006477B2"/>
    <w:rsid w:val="00721D6D"/>
    <w:rsid w:val="007246D9"/>
    <w:rsid w:val="007A357F"/>
    <w:rsid w:val="007D3E83"/>
    <w:rsid w:val="008D13A4"/>
    <w:rsid w:val="00900101"/>
    <w:rsid w:val="0091569C"/>
    <w:rsid w:val="00922E59"/>
    <w:rsid w:val="00972BE3"/>
    <w:rsid w:val="009C6949"/>
    <w:rsid w:val="009D518C"/>
    <w:rsid w:val="00A814AA"/>
    <w:rsid w:val="00B85736"/>
    <w:rsid w:val="00C05AA8"/>
    <w:rsid w:val="00C15C21"/>
    <w:rsid w:val="00C63203"/>
    <w:rsid w:val="00C812FB"/>
    <w:rsid w:val="00DB78B8"/>
    <w:rsid w:val="00E31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78FB"/>
  <w15:chartTrackingRefBased/>
  <w15:docId w15:val="{B3E69714-BA4F-4CD8-9AB1-BCB42BE5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203"/>
    <w:rPr>
      <w:color w:val="0563C1" w:themeColor="hyperlink"/>
      <w:u w:val="single"/>
    </w:rPr>
  </w:style>
  <w:style w:type="paragraph" w:styleId="FootnoteText">
    <w:name w:val="footnote text"/>
    <w:basedOn w:val="Normal"/>
    <w:link w:val="FootnoteTextChar"/>
    <w:uiPriority w:val="99"/>
    <w:semiHidden/>
    <w:unhideWhenUsed/>
    <w:rsid w:val="00C63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203"/>
    <w:rPr>
      <w:sz w:val="20"/>
      <w:szCs w:val="20"/>
    </w:rPr>
  </w:style>
  <w:style w:type="character" w:styleId="FootnoteReference">
    <w:name w:val="footnote reference"/>
    <w:basedOn w:val="DefaultParagraphFont"/>
    <w:uiPriority w:val="99"/>
    <w:semiHidden/>
    <w:unhideWhenUsed/>
    <w:rsid w:val="00C63203"/>
    <w:rPr>
      <w:vertAlign w:val="superscript"/>
    </w:rPr>
  </w:style>
  <w:style w:type="paragraph" w:styleId="Header">
    <w:name w:val="header"/>
    <w:basedOn w:val="Normal"/>
    <w:link w:val="HeaderChar"/>
    <w:uiPriority w:val="99"/>
    <w:unhideWhenUsed/>
    <w:rsid w:val="00915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9C"/>
  </w:style>
  <w:style w:type="paragraph" w:styleId="Footer">
    <w:name w:val="footer"/>
    <w:basedOn w:val="Normal"/>
    <w:link w:val="FooterChar"/>
    <w:uiPriority w:val="99"/>
    <w:unhideWhenUsed/>
    <w:rsid w:val="00915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7250492/Preaching_and_the_Chu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FE4ED7D2C6448A7844D3570E3EF5D" ma:contentTypeVersion="18" ma:contentTypeDescription="Create a new document." ma:contentTypeScope="" ma:versionID="24fae92ef09699269ab0fe1bbf9c5e95">
  <xsd:schema xmlns:xsd="http://www.w3.org/2001/XMLSchema" xmlns:xs="http://www.w3.org/2001/XMLSchema" xmlns:p="http://schemas.microsoft.com/office/2006/metadata/properties" xmlns:ns2="891bd412-6d1e-43db-9978-05744e95d05f" xmlns:ns3="f3216222-0efe-4fba-8b41-bd13b5734288" targetNamespace="http://schemas.microsoft.com/office/2006/metadata/properties" ma:root="true" ma:fieldsID="f41f5a825210d7acfc0afb88cbae42ab" ns2:_="" ns3:_="">
    <xsd:import namespace="891bd412-6d1e-43db-9978-05744e95d05f"/>
    <xsd:import namespace="f3216222-0efe-4fba-8b41-bd13b57342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bd412-6d1e-43db-9978-05744e95d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88b059-1a9d-49d0-8797-725bbedd9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16222-0efe-4fba-8b41-bd13b57342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aeb29-ba47-467b-a055-005958a406ba}" ma:internalName="TaxCatchAll" ma:showField="CatchAllData" ma:web="f3216222-0efe-4fba-8b41-bd13b5734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07EDD-37AE-4E88-85AD-BC749433FD53}"/>
</file>

<file path=customXml/itemProps2.xml><?xml version="1.0" encoding="utf-8"?>
<ds:datastoreItem xmlns:ds="http://schemas.openxmlformats.org/officeDocument/2006/customXml" ds:itemID="{A5DC2C9F-E5B9-4FF2-AE29-16C0EBFCFDD0}"/>
</file>

<file path=docProps/app.xml><?xml version="1.0" encoding="utf-8"?>
<Properties xmlns="http://schemas.openxmlformats.org/officeDocument/2006/extended-properties" xmlns:vt="http://schemas.openxmlformats.org/officeDocument/2006/docPropsVTypes">
  <Template>Normal</Template>
  <TotalTime>18</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Ward</dc:creator>
  <cp:keywords/>
  <dc:description/>
  <cp:lastModifiedBy>Tom Underhill</cp:lastModifiedBy>
  <cp:revision>9</cp:revision>
  <cp:lastPrinted>2024-03-05T17:28:00Z</cp:lastPrinted>
  <dcterms:created xsi:type="dcterms:W3CDTF">2024-03-05T17:40:00Z</dcterms:created>
  <dcterms:modified xsi:type="dcterms:W3CDTF">2024-03-06T11:02:00Z</dcterms:modified>
</cp:coreProperties>
</file>